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</w:pPr>
      <w:r>
        <w:rPr>
          <w:b w:val="1"/>
          <w:bCs w:val="1"/>
          <w:rtl w:val="0"/>
          <w:lang w:val="it-IT"/>
        </w:rPr>
        <w:t>SVINCOLI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Art. 32 bis NOIF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Tutti i calciatori che entro il termine di ciascuna stagione sportiva (</w:t>
      </w:r>
      <w:r>
        <w:rPr>
          <w:b w:val="1"/>
          <w:bCs w:val="1"/>
          <w:rtl w:val="0"/>
          <w:lang w:val="it-IT"/>
        </w:rPr>
        <w:t>30 giugno</w:t>
      </w:r>
      <w:r>
        <w:rPr>
          <w:rtl w:val="0"/>
          <w:lang w:val="it-IT"/>
        </w:rPr>
        <w:t xml:space="preserve">) hanno anagraficamente compiuto il </w:t>
      </w:r>
      <w:r>
        <w:rPr>
          <w:b w:val="1"/>
          <w:bCs w:val="1"/>
          <w:rtl w:val="0"/>
          <w:lang w:val="it-IT"/>
        </w:rPr>
        <w:t>25</w:t>
      </w:r>
      <w:r>
        <w:rPr>
          <w:b w:val="1"/>
          <w:bCs w:val="1"/>
          <w:rtl w:val="0"/>
          <w:lang w:val="it-IT"/>
        </w:rPr>
        <w:t>°</w:t>
      </w:r>
      <w:r>
        <w:rPr>
          <w:rtl w:val="0"/>
          <w:lang w:val="it-IT"/>
        </w:rPr>
        <w:t xml:space="preserve"> anno di 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possono chiedere ai Comitati, al Dipartimento ed alla Divisione di appartenenza lo svincolo  per decadenza del tesseramento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32 bis delle NOIF.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Tutti i calciatori che hanno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chiesto ed ottenuto nelle stagioni precedenti lo svincolo per decadenza del tesseramento, </w:t>
      </w:r>
      <w:r>
        <w:rPr>
          <w:b w:val="1"/>
          <w:bCs w:val="1"/>
          <w:rtl w:val="0"/>
          <w:lang w:val="it-IT"/>
        </w:rPr>
        <w:t>sono automaticamente svincolati al  30 giugno</w:t>
      </w:r>
      <w:r>
        <w:rPr>
          <w:rtl w:val="0"/>
          <w:lang w:val="it-IT"/>
        </w:rPr>
        <w:t xml:space="preserve"> di ogni stagione sportiva  successiva.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Le richieste  di svincolo  devono essere  </w:t>
      </w:r>
      <w:r>
        <w:rPr>
          <w:b w:val="1"/>
          <w:bCs w:val="1"/>
          <w:rtl w:val="0"/>
          <w:lang w:val="it-IT"/>
        </w:rPr>
        <w:t>inviate</w:t>
      </w:r>
      <w:r>
        <w:rPr>
          <w:rtl w:val="0"/>
          <w:lang w:val="it-IT"/>
        </w:rPr>
        <w:t xml:space="preserve"> personalmente dal calciatore nel periodo compreso tra il </w:t>
      </w:r>
      <w:r>
        <w:rPr>
          <w:b w:val="1"/>
          <w:bCs w:val="1"/>
          <w:rtl w:val="0"/>
          <w:lang w:val="it-IT"/>
        </w:rPr>
        <w:t>15 giugno</w:t>
      </w:r>
      <w:r>
        <w:rPr>
          <w:rtl w:val="0"/>
          <w:lang w:val="it-IT"/>
        </w:rPr>
        <w:t xml:space="preserve"> ed il </w:t>
      </w:r>
      <w:r>
        <w:rPr>
          <w:b w:val="1"/>
          <w:bCs w:val="1"/>
          <w:rtl w:val="0"/>
          <w:lang w:val="it-IT"/>
        </w:rPr>
        <w:t>15 luglio</w:t>
      </w:r>
      <w:r>
        <w:rPr>
          <w:rtl w:val="0"/>
          <w:lang w:val="it-IT"/>
        </w:rPr>
        <w:t xml:space="preserve"> di ciascun anno. In ogni caso devono pervenire ai Comitati, ai Dipartimenti e alla Divisione competenti, entro il </w:t>
      </w:r>
      <w:r>
        <w:rPr>
          <w:b w:val="1"/>
          <w:bCs w:val="1"/>
          <w:rtl w:val="0"/>
          <w:lang w:val="it-IT"/>
        </w:rPr>
        <w:t>30 luglio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La procedura di notifica prevede che venga inviata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PRIMA la raccomandata alla societ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e poi, ALLEGANDO LA RICEVUTA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INVIO ALLA SOCIETA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(</w:t>
      </w:r>
      <w:r>
        <w:rPr>
          <w:b w:val="1"/>
          <w:bCs w:val="1"/>
          <w:rtl w:val="0"/>
          <w:lang w:val="it-IT"/>
        </w:rPr>
        <w:t>allega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originale del talloncino, ma tieni una copia del talloncino</w:t>
      </w:r>
      <w:r>
        <w:rPr>
          <w:rtl w:val="0"/>
          <w:lang w:val="it-IT"/>
        </w:rPr>
        <w:t xml:space="preserve">), la seconda raccomandata </w:t>
      </w:r>
      <w:r>
        <w:rPr>
          <w:rtl w:val="0"/>
          <w:lang w:val="it-IT"/>
        </w:rPr>
        <w:t xml:space="preserve">al </w:t>
      </w:r>
      <w:r>
        <w:rPr>
          <w:rtl w:val="0"/>
          <w:lang w:val="it-IT"/>
        </w:rPr>
        <w:t>Dipartimento / Comitato Regionale / Divisione competente (tutte le raccomandate, ovviamente, con avviso di ricevimento).</w:t>
      </w:r>
      <w:r>
        <w:rPr>
          <w:rtl w:val="0"/>
          <w:lang w:val="it-IT"/>
        </w:rPr>
        <w:t> 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E' necessario conservare una copia di tutto (sia della lettera che le ricevute delle raccomandate).</w:t>
      </w:r>
      <w:r>
        <w:rPr>
          <w:rtl w:val="0"/>
          <w:lang w:val="it-IT"/>
        </w:rPr>
        <w:t> 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Lo svincolo ex art. 32 bis NOIF non opera in caso di vigenza di accordo economico pluriennale.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Art. 108 NOIF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Le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possono convenire con i calciatori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non professionisti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giovani dilettanti</w:t>
      </w:r>
      <w:r>
        <w:rPr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>accordi per il loro svincolo</w:t>
      </w:r>
      <w:r>
        <w:rPr>
          <w:rtl w:val="0"/>
          <w:lang w:val="it-IT"/>
        </w:rPr>
        <w:t>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108 NOIF da depositare, a pena di nullit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presso i competenti Comitati, Dipartimento e Divisione della  L.N.D. </w:t>
      </w:r>
      <w:r>
        <w:rPr>
          <w:b w:val="1"/>
          <w:bCs w:val="1"/>
          <w:rtl w:val="0"/>
          <w:lang w:val="it-IT"/>
        </w:rPr>
        <w:t>entro venti giorni dalla data di sottoscrizione e comunque entro il 15 giugno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Art. 109 NOIF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Il calciatore tesserato ed a disposizione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entro il 30 novembre, se non prende parte, per motivi a lui non imputabili, ad almeno quattro gare ufficiali nella stagione sportiva, ha diritto allo </w:t>
      </w:r>
      <w:r>
        <w:rPr>
          <w:b w:val="1"/>
          <w:bCs w:val="1"/>
          <w:rtl w:val="0"/>
          <w:lang w:val="it-IT"/>
        </w:rPr>
        <w:t>svincolo per inattivit</w:t>
      </w:r>
      <w:r>
        <w:rPr>
          <w:b w:val="1"/>
          <w:bCs w:val="1"/>
          <w:rtl w:val="0"/>
          <w:lang w:val="it-IT"/>
        </w:rPr>
        <w:t>à</w:t>
      </w:r>
      <w:r>
        <w:rPr>
          <w:rtl w:val="0"/>
          <w:lang w:val="it-IT"/>
        </w:rPr>
        <w:t>, salvo che questa non dipenda dalla omessa presentazione da parte del calciatore della prescritta certificazione di idoneit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sportiva, nonostante almeno due inviti della societ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Per ottenere lo svincolo, </w:t>
      </w:r>
      <w:r>
        <w:rPr>
          <w:b w:val="1"/>
          <w:bCs w:val="1"/>
          <w:rtl w:val="0"/>
          <w:lang w:val="it-IT"/>
        </w:rPr>
        <w:t>il calciatore deve chiedere, entro il 15 giugno o, nel caso di Campionato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ancora in corso a tale data, entro il quindicesimo giorno successivo alla conclusione dello stesso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 lettera raccomandata diretta alla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rimessa in copia anche al Comitato, Dipartimento o Divisione competente, di essere incluso in "lista di svincolo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La procedura di notifica prevede che venga inviata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PRIMA la raccomandata alla societ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e poi, ALLEGANDO LA RICEVUTA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INVIO ALLA SOCIETA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(</w:t>
      </w:r>
      <w:r>
        <w:rPr>
          <w:b w:val="1"/>
          <w:bCs w:val="1"/>
          <w:rtl w:val="0"/>
          <w:lang w:val="it-IT"/>
        </w:rPr>
        <w:t>allega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originale del talloncino, ma tieni una copia del talloncino</w:t>
      </w:r>
      <w:r>
        <w:rPr>
          <w:rtl w:val="0"/>
          <w:lang w:val="it-IT"/>
        </w:rPr>
        <w:t>), la seconda raccomandata al</w:t>
      </w:r>
      <w:r>
        <w:rPr>
          <w:rtl w:val="0"/>
          <w:lang w:val="it-IT"/>
        </w:rPr>
        <w:t xml:space="preserve"> Dipartimento / Comitato Regionale / </w:t>
      </w:r>
      <w:r>
        <w:rPr>
          <w:rtl w:val="0"/>
          <w:lang w:val="it-IT"/>
        </w:rPr>
        <w:t xml:space="preserve">Divisione </w:t>
      </w:r>
      <w:r>
        <w:rPr>
          <w:rtl w:val="0"/>
          <w:lang w:val="it-IT"/>
        </w:rPr>
        <w:t xml:space="preserve">competente </w:t>
      </w:r>
      <w:r>
        <w:rPr>
          <w:rtl w:val="0"/>
          <w:lang w:val="it-IT"/>
        </w:rPr>
        <w:t>(tutte le raccomandate, ovviamente, con avviso di ricevimento).</w:t>
      </w:r>
      <w:r>
        <w:rPr>
          <w:rtl w:val="0"/>
          <w:lang w:val="it-IT"/>
        </w:rPr>
        <w:t> 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E' necessario conservare una copia di tutto (sia della lettera che le ricevute delle raccomandate).</w:t>
      </w:r>
      <w:r>
        <w:rPr>
          <w:rtl w:val="0"/>
          <w:lang w:val="it-IT"/>
        </w:rPr>
        <w:t> 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Art. 107 NOIF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Per tutti i calciatori e calciatrici dilettanti che sottoscrivono un accordo economico </w:t>
      </w:r>
      <w:r>
        <w:rPr>
          <w:b w:val="1"/>
          <w:bCs w:val="1"/>
          <w:rtl w:val="0"/>
          <w:lang w:val="it-IT"/>
        </w:rPr>
        <w:t>annuale</w:t>
      </w:r>
      <w:r>
        <w:rPr>
          <w:rtl w:val="0"/>
          <w:lang w:val="it-IT"/>
        </w:rPr>
        <w:t xml:space="preserve">, in caso di inserimento nelle </w:t>
      </w:r>
      <w:r>
        <w:rPr>
          <w:b w:val="1"/>
          <w:bCs w:val="1"/>
          <w:rtl w:val="0"/>
          <w:lang w:val="it-IT"/>
        </w:rPr>
        <w:t>liste di svincolo suppletive</w:t>
      </w:r>
      <w:r>
        <w:rPr>
          <w:rtl w:val="0"/>
          <w:lang w:val="it-IT"/>
        </w:rPr>
        <w:t xml:space="preserve"> (</w:t>
      </w:r>
      <w:r>
        <w:rPr>
          <w:b w:val="1"/>
          <w:bCs w:val="1"/>
          <w:rtl w:val="0"/>
          <w:lang w:val="it-IT"/>
        </w:rPr>
        <w:t>1-16 dicembre</w:t>
      </w:r>
      <w:r>
        <w:rPr>
          <w:rtl w:val="0"/>
          <w:lang w:val="it-IT"/>
        </w:rPr>
        <w:t>), lo svincolo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efficace </w:t>
      </w:r>
      <w:r>
        <w:rPr>
          <w:rtl w:val="0"/>
          <w:lang w:val="it-IT"/>
        </w:rPr>
        <w:t xml:space="preserve">unicamente se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inclusione</w:t>
      </w:r>
      <w:r>
        <w:rPr>
          <w:rtl w:val="0"/>
          <w:lang w:val="it-IT"/>
        </w:rPr>
        <w:t xml:space="preserve"> nelle liste</w:t>
      </w:r>
      <w:r>
        <w:rPr>
          <w:rtl w:val="0"/>
          <w:lang w:val="it-IT"/>
        </w:rPr>
        <w:t xml:space="preserve"> sia</w:t>
      </w:r>
      <w:r>
        <w:rPr>
          <w:rtl w:val="0"/>
          <w:lang w:val="it-IT"/>
        </w:rPr>
        <w:t xml:space="preserve"> stata</w:t>
      </w:r>
      <w:r>
        <w:rPr>
          <w:rtl w:val="0"/>
          <w:lang w:val="it-IT"/>
        </w:rPr>
        <w:t xml:space="preserve"> concordata con il calciatore, che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sottoscrivere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apposita</w:t>
      </w:r>
      <w:r>
        <w:rPr>
          <w:rtl w:val="0"/>
          <w:lang w:val="it-IT"/>
        </w:rPr>
        <w:t xml:space="preserve"> lista per accettazione. 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Quanto sopra vale anche nel caso di vigenza di accordo economico </w:t>
      </w:r>
      <w:r>
        <w:rPr>
          <w:b w:val="1"/>
          <w:bCs w:val="1"/>
          <w:rtl w:val="0"/>
          <w:lang w:val="it-IT"/>
        </w:rPr>
        <w:t xml:space="preserve">pluriennale </w:t>
      </w:r>
      <w:r>
        <w:rPr>
          <w:rtl w:val="0"/>
          <w:lang w:val="it-IT"/>
        </w:rPr>
        <w:t>sia nel periodo di svincolo 1-16 dicembre, sia nel periodo di svincolo al termine della stagione sportiva.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